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0E5">
      <w:pPr>
        <w:pStyle w:val="af2"/>
        <w:spacing w:before="0"/>
        <w:ind w:left="-284" w:right="-143"/>
        <w:jc w:val="left"/>
        <w:rPr>
          <w:b/>
          <w:caps/>
          <w:color w:val="333399"/>
          <w:sz w:val="32"/>
          <w:lang w:val="ru-RU"/>
        </w:rPr>
      </w:pPr>
    </w:p>
    <w:p w:rsidR="00000000" w:rsidRDefault="005D50E5">
      <w:pPr>
        <w:pStyle w:val="af2"/>
        <w:spacing w:before="0"/>
        <w:ind w:right="-143"/>
        <w:jc w:val="left"/>
        <w:rPr>
          <w:b/>
          <w:caps/>
          <w:color w:val="333399"/>
          <w:sz w:val="32"/>
          <w:lang w:val="ru-RU"/>
        </w:rPr>
      </w:pPr>
      <w:r>
        <w:rPr>
          <w:b/>
          <w:caps/>
          <w:color w:val="333399"/>
          <w:sz w:val="32"/>
          <w:lang w:val="ru-RU"/>
        </w:rPr>
        <w:t>До «ХИМКИ»</w:t>
      </w:r>
    </w:p>
    <w:p w:rsidR="00000000" w:rsidRDefault="005D50E5">
      <w:pPr>
        <w:rPr>
          <w:sz w:val="24"/>
          <w:szCs w:val="24"/>
        </w:rPr>
      </w:pPr>
      <w:r>
        <w:rPr>
          <w:b/>
          <w:sz w:val="24"/>
          <w:szCs w:val="24"/>
        </w:rPr>
        <w:t>Адрес</w:t>
      </w:r>
      <w:r>
        <w:rPr>
          <w:sz w:val="24"/>
          <w:szCs w:val="24"/>
        </w:rPr>
        <w:t>: г. Химки, Ленинградское ш-се, вл.5</w:t>
      </w:r>
    </w:p>
    <w:p w:rsidR="00000000" w:rsidRDefault="005D50E5">
      <w:pPr>
        <w:rPr>
          <w:sz w:val="24"/>
          <w:szCs w:val="24"/>
        </w:rPr>
      </w:pPr>
      <w:r>
        <w:rPr>
          <w:b/>
          <w:sz w:val="24"/>
          <w:szCs w:val="24"/>
        </w:rPr>
        <w:t>Телефон</w:t>
      </w:r>
      <w:r>
        <w:rPr>
          <w:sz w:val="24"/>
          <w:szCs w:val="24"/>
        </w:rPr>
        <w:t>: (495) 744-01-93</w:t>
      </w:r>
    </w:p>
    <w:p w:rsidR="00000000" w:rsidRDefault="005D50E5">
      <w:pPr>
        <w:pStyle w:val="af2"/>
        <w:spacing w:before="0"/>
        <w:ind w:left="-284" w:right="-143"/>
        <w:rPr>
          <w:b/>
          <w:caps/>
          <w:color w:val="333399"/>
          <w:sz w:val="32"/>
          <w:lang w:val="ru-RU"/>
        </w:rPr>
      </w:pPr>
    </w:p>
    <w:p w:rsidR="00000000" w:rsidRDefault="005D50E5">
      <w:pPr>
        <w:pStyle w:val="af2"/>
        <w:spacing w:before="0"/>
        <w:ind w:left="-284" w:right="-143"/>
        <w:rPr>
          <w:b/>
          <w:caps/>
          <w:color w:val="333399"/>
          <w:sz w:val="32"/>
          <w:lang w:val="ru-RU"/>
        </w:rPr>
      </w:pPr>
      <w:r>
        <w:rPr>
          <w:b/>
          <w:caps/>
          <w:color w:val="333399"/>
          <w:sz w:val="32"/>
          <w:lang w:val="ru-RU"/>
        </w:rPr>
        <w:t>кредит</w:t>
      </w:r>
    </w:p>
    <w:p w:rsidR="00000000" w:rsidRDefault="005D50E5">
      <w:pPr>
        <w:pStyle w:val="af2"/>
        <w:spacing w:before="0"/>
        <w:ind w:left="-284" w:right="-143"/>
        <w:rPr>
          <w:b/>
          <w:caps/>
          <w:color w:val="333399"/>
          <w:sz w:val="32"/>
          <w:lang w:val="ru-RU"/>
        </w:rPr>
      </w:pPr>
      <w:r>
        <w:rPr>
          <w:b/>
          <w:caps/>
          <w:color w:val="333399"/>
          <w:sz w:val="32"/>
          <w:lang w:val="ru-RU"/>
        </w:rPr>
        <w:t xml:space="preserve"> </w:t>
      </w:r>
      <w:r>
        <w:rPr>
          <w:b/>
          <w:caps/>
          <w:color w:val="333399"/>
          <w:sz w:val="32"/>
          <w:lang w:val="ru-RU"/>
        </w:rPr>
        <w:t>на приобретение маломерных плавающих средств</w:t>
      </w:r>
    </w:p>
    <w:p w:rsidR="00000000" w:rsidRDefault="005D50E5">
      <w:pPr>
        <w:rPr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52"/>
        <w:gridCol w:w="2126"/>
        <w:gridCol w:w="5710"/>
      </w:tblGrid>
      <w:tr w:rsidR="0000000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>Объект кредитования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7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D50E5">
            <w:pPr>
              <w:snapToGrid w:val="0"/>
              <w:ind w:left="-108"/>
            </w:pPr>
            <w:r>
              <w:t xml:space="preserve"> 1.Самоходные суда внутреннего плавания и иные плавучие объекты вместимостью  менее 80 т с главными д</w:t>
            </w:r>
            <w:r>
              <w:t>вигателями мощностью менее 55 кВт или с подвесными мотор</w:t>
            </w:r>
            <w:r>
              <w:t>а</w:t>
            </w:r>
            <w:r>
              <w:t>ми независимо от мощности, водные мотоциклы (гидроциклы) и несамоходные суда вместимостью менее 80 т кроме пассажирских, наливных, военных, прогулочных, пару</w:t>
            </w:r>
            <w:r>
              <w:t>с</w:t>
            </w:r>
            <w:r>
              <w:t>ных и спортивных судов, смешанных судов (</w:t>
            </w:r>
            <w:r>
              <w:t>река-море) плавания, а также принадлеж</w:t>
            </w:r>
            <w:r>
              <w:t>а</w:t>
            </w:r>
            <w:r>
              <w:t>щих физическим лицам гребных лодок грузоподъёмностью менее 100 кг, байдарок – менее 150 кг и надувных безмоторных судов – менее 225 кг), эксплуатируемые во вну</w:t>
            </w:r>
            <w:r>
              <w:t>т</w:t>
            </w:r>
            <w:r>
              <w:t>ренних водах;</w:t>
            </w:r>
          </w:p>
          <w:p w:rsidR="00000000" w:rsidRDefault="005D50E5">
            <w:pPr>
              <w:pStyle w:val="af4"/>
              <w:numPr>
                <w:ilvl w:val="0"/>
                <w:numId w:val="0"/>
              </w:numPr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Прогулочные суда пассажировместимостью  </w:t>
            </w:r>
            <w:r>
              <w:rPr>
                <w:sz w:val="20"/>
              </w:rPr>
              <w:t>не более 12 человек не зависимо от мощности главных двигателей и вместимости, иные суда и плавучие средства пасс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жиро-вместимостью не более 12 человек с главными двигателями мощностью менее 55 кВт или с подвесными моторами независимо от мощности, водные мо</w:t>
            </w:r>
            <w:r>
              <w:rPr>
                <w:sz w:val="20"/>
              </w:rPr>
              <w:t>тоциклы (гидроциклы) и несамоходные суда вместимостью менее 80 т  (кроме пассажирских, грузопассажирских, нефтеналивных, буксирных, военных, спортивных судов),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пользуемые в целях мореплавания</w:t>
            </w:r>
          </w:p>
        </w:tc>
      </w:tr>
      <w:tr w:rsidR="00000000">
        <w:trPr>
          <w:trHeight w:val="44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 xml:space="preserve">Сумма и </w:t>
            </w:r>
          </w:p>
          <w:p w:rsidR="00000000" w:rsidRDefault="005D50E5">
            <w:r>
              <w:t>валюта кредита</w:t>
            </w:r>
          </w:p>
        </w:tc>
        <w:tc>
          <w:tcPr>
            <w:tcW w:w="7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>От 260 000 до 7 800 000 рублей (эквив</w:t>
            </w:r>
            <w:r>
              <w:t>алент в долларах США или ЕВРО по курсу ЦБ на день предоставления кредита)</w:t>
            </w:r>
          </w:p>
        </w:tc>
      </w:tr>
      <w:tr w:rsidR="00000000">
        <w:trPr>
          <w:trHeight w:val="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 xml:space="preserve">Первоначальный взнос </w:t>
            </w:r>
          </w:p>
        </w:tc>
        <w:tc>
          <w:tcPr>
            <w:tcW w:w="7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D50E5">
            <w:pPr>
              <w:snapToGrid w:val="0"/>
              <w:jc w:val="center"/>
            </w:pPr>
            <w:r>
              <w:t xml:space="preserve">От 30% стоимости МПС </w:t>
            </w:r>
          </w:p>
        </w:tc>
      </w:tr>
      <w:tr w:rsidR="00000000">
        <w:trPr>
          <w:trHeight w:val="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 xml:space="preserve">Срок кредитования </w:t>
            </w:r>
          </w:p>
        </w:tc>
        <w:tc>
          <w:tcPr>
            <w:tcW w:w="7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D50E5">
            <w:pPr>
              <w:snapToGrid w:val="0"/>
              <w:jc w:val="center"/>
            </w:pPr>
            <w:r>
              <w:t>До 60 месяцев</w:t>
            </w:r>
          </w:p>
        </w:tc>
      </w:tr>
      <w:tr w:rsidR="00000000">
        <w:trPr>
          <w:trHeight w:val="1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>Комиссия за открытие ссудного счета</w:t>
            </w:r>
          </w:p>
        </w:tc>
        <w:tc>
          <w:tcPr>
            <w:tcW w:w="7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D50E5">
            <w:pPr>
              <w:snapToGrid w:val="0"/>
              <w:jc w:val="center"/>
            </w:pPr>
            <w:r>
              <w:t xml:space="preserve">5 200 рублей РФ </w:t>
            </w:r>
          </w:p>
          <w:p w:rsidR="00000000" w:rsidRDefault="005D50E5">
            <w:pPr>
              <w:jc w:val="center"/>
            </w:pPr>
            <w:r>
              <w:t>(уплачивается единовременно до получения кредита)</w:t>
            </w:r>
          </w:p>
        </w:tc>
      </w:tr>
      <w:tr w:rsidR="00000000">
        <w:trPr>
          <w:cantSplit/>
          <w:trHeight w:hRule="exact" w:val="27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snapToGrid w:val="0"/>
            </w:pPr>
            <w:r>
              <w:t>Процентные</w:t>
            </w:r>
          </w:p>
          <w:p w:rsidR="00000000" w:rsidRDefault="005D50E5">
            <w:r>
              <w:t>ставки по кредиту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tabs>
                <w:tab w:val="left" w:pos="0"/>
              </w:tabs>
              <w:snapToGrid w:val="0"/>
              <w:ind w:left="-108" w:right="-180"/>
              <w:jc w:val="center"/>
            </w:pPr>
            <w:r>
              <w:t>Рубли РФ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D50E5">
            <w:pPr>
              <w:tabs>
                <w:tab w:val="left" w:pos="0"/>
              </w:tabs>
              <w:snapToGrid w:val="0"/>
              <w:ind w:left="-108" w:right="-180"/>
              <w:jc w:val="center"/>
            </w:pPr>
            <w:r>
              <w:t>Доллары США, евро</w:t>
            </w:r>
          </w:p>
        </w:tc>
      </w:tr>
      <w:tr w:rsidR="00000000">
        <w:trPr>
          <w:cantSplit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D50E5">
            <w:pPr>
              <w:tabs>
                <w:tab w:val="left" w:pos="0"/>
              </w:tabs>
              <w:snapToGrid w:val="0"/>
              <w:ind w:left="-108" w:right="-180"/>
              <w:jc w:val="center"/>
            </w:pPr>
            <w:r>
              <w:t>17%годовых</w:t>
            </w:r>
          </w:p>
          <w:p w:rsidR="00000000" w:rsidRDefault="005D50E5">
            <w:pPr>
              <w:tabs>
                <w:tab w:val="left" w:pos="0"/>
              </w:tabs>
              <w:ind w:left="-108" w:right="-180"/>
              <w:jc w:val="center"/>
            </w:pP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D50E5">
            <w:pPr>
              <w:tabs>
                <w:tab w:val="left" w:pos="0"/>
              </w:tabs>
              <w:snapToGrid w:val="0"/>
              <w:ind w:left="-108" w:right="-180"/>
              <w:jc w:val="center"/>
            </w:pPr>
            <w:r>
              <w:t>14% годовых</w:t>
            </w:r>
          </w:p>
          <w:p w:rsidR="00000000" w:rsidRDefault="005D50E5">
            <w:pPr>
              <w:tabs>
                <w:tab w:val="left" w:pos="0"/>
              </w:tabs>
              <w:ind w:left="-108" w:right="-180"/>
              <w:jc w:val="center"/>
              <w:rPr>
                <w:b/>
              </w:rPr>
            </w:pPr>
          </w:p>
        </w:tc>
      </w:tr>
    </w:tbl>
    <w:p w:rsidR="00000000" w:rsidRDefault="005D50E5">
      <w:pPr>
        <w:pStyle w:val="3"/>
        <w:tabs>
          <w:tab w:val="left" w:pos="0"/>
        </w:tabs>
        <w:spacing w:before="60"/>
        <w:jc w:val="left"/>
      </w:pP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sz w:val="20"/>
        </w:rPr>
      </w:pPr>
      <w:r>
        <w:rPr>
          <w:rStyle w:val="a4"/>
          <w:sz w:val="20"/>
        </w:rPr>
        <w:t xml:space="preserve">Требования, предъявляемые к </w:t>
      </w:r>
      <w:hyperlink w:anchor="_top" w:history="1">
        <w:r>
          <w:rPr>
            <w:rStyle w:val="a4"/>
          </w:rPr>
          <w:t>Заемщику</w:t>
        </w:r>
      </w:hyperlink>
      <w:r>
        <w:rPr>
          <w:rStyle w:val="a4"/>
          <w:sz w:val="20"/>
        </w:rPr>
        <w:t>/Созаемщику/Поручителю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гражданство Российской Федерации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возраст заемщика: </w:t>
      </w:r>
    </w:p>
    <w:p w:rsidR="00000000" w:rsidRDefault="005D50E5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для женщин - от 21 </w:t>
      </w:r>
      <w:r>
        <w:rPr>
          <w:sz w:val="18"/>
          <w:szCs w:val="18"/>
        </w:rPr>
        <w:t>до 55 лет включительно на дату возврата кредита, установленную кредитным договором;</w:t>
      </w:r>
    </w:p>
    <w:p w:rsidR="00000000" w:rsidRDefault="005D50E5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для мужчин - от 21 до 60 лет включительно на дату возврата кредита, установленную кредитным договором;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постоянное место работы и постоянна регистрация в регио</w:t>
      </w:r>
      <w:r>
        <w:rPr>
          <w:sz w:val="18"/>
          <w:szCs w:val="18"/>
        </w:rPr>
        <w:t>не расположения Уполномоченного подразделения</w:t>
      </w:r>
      <w:r>
        <w:rPr>
          <w:rStyle w:val="a6"/>
          <w:sz w:val="18"/>
          <w:szCs w:val="18"/>
        </w:rPr>
        <w:footnoteReference w:id="3"/>
      </w:r>
      <w:r>
        <w:rPr>
          <w:sz w:val="18"/>
          <w:szCs w:val="18"/>
        </w:rPr>
        <w:t>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трудовой стаж не менее 1 года, в том числе на последнем месте работы не менее 6 месяцев. Для индивидуальных пре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принимателей – осуществление предпринимательской деятельности не менее 1 года</w:t>
      </w: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sz w:val="20"/>
        </w:rPr>
      </w:pPr>
      <w:r>
        <w:rPr>
          <w:rStyle w:val="a4"/>
          <w:sz w:val="20"/>
        </w:rPr>
        <w:t>Перечень документо</w:t>
      </w:r>
      <w:r>
        <w:rPr>
          <w:rStyle w:val="a4"/>
          <w:sz w:val="20"/>
        </w:rPr>
        <w:t>в, предоставляемых Заемщиком / Созаемщиком/ Поручителем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оформленная Анкета-Заявление на получение кредита;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копия трудовой книжки, заверенная работодателем (за исключением индивидуальных предпринимателей);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водительск</w:t>
      </w:r>
      <w:r>
        <w:rPr>
          <w:sz w:val="18"/>
          <w:szCs w:val="18"/>
        </w:rPr>
        <w:t>ое удостоверение (при наличии);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документ, подтверждающий урегулирование отношений с призывными органами (для мужчин призывного возраста);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паспорт Российской Федерации супруга (и) при личном присутствии супруги(а) при оформлении кредитного договора;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справка</w:t>
      </w:r>
      <w:r>
        <w:rPr>
          <w:sz w:val="18"/>
          <w:szCs w:val="18"/>
        </w:rPr>
        <w:t xml:space="preserve"> с места работы Заемщика о доходах за последние 6 месяцев по форме 2-НДФЛ, форме Банка либо в прои</w:t>
      </w:r>
      <w:r>
        <w:rPr>
          <w:sz w:val="18"/>
          <w:szCs w:val="18"/>
        </w:rPr>
        <w:t>з</w:t>
      </w:r>
      <w:r>
        <w:rPr>
          <w:sz w:val="18"/>
          <w:szCs w:val="18"/>
        </w:rPr>
        <w:t>вольной форме на бланке организации – работодателя, заверенная подписями уполномоченных лиц работодателя и скрепленная печатью (при наличии).</w:t>
      </w: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bCs/>
          <w:sz w:val="20"/>
        </w:rPr>
      </w:pPr>
      <w:r>
        <w:rPr>
          <w:rStyle w:val="a4"/>
          <w:bCs/>
          <w:sz w:val="20"/>
        </w:rPr>
        <w:t xml:space="preserve">Индивидуальные </w:t>
      </w:r>
      <w:r>
        <w:rPr>
          <w:rStyle w:val="a4"/>
          <w:bCs/>
          <w:sz w:val="20"/>
        </w:rPr>
        <w:t>предприниматели дополнительно предоставляют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копия свидетельства о государственной регистрации;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копия свидетельства о постановке на учет в налоговом органе;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копия налоговой декларации за последние 4 квартала;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выписка по расчетным и иным счетам в банках за п</w:t>
      </w:r>
      <w:r>
        <w:rPr>
          <w:sz w:val="18"/>
          <w:szCs w:val="18"/>
        </w:rPr>
        <w:t>оследние 12 месяцев;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копии патентов и лицензий (при наличии).</w:t>
      </w:r>
    </w:p>
    <w:p w:rsidR="00000000" w:rsidRDefault="005D50E5">
      <w:pPr>
        <w:pStyle w:val="3"/>
        <w:tabs>
          <w:tab w:val="left" w:pos="0"/>
        </w:tabs>
        <w:spacing w:before="60"/>
        <w:jc w:val="left"/>
      </w:pP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bCs/>
          <w:sz w:val="20"/>
        </w:rPr>
      </w:pPr>
      <w:r>
        <w:rPr>
          <w:rStyle w:val="a4"/>
          <w:bCs/>
          <w:sz w:val="20"/>
        </w:rPr>
        <w:t>Обеспечение по кредиту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Залог МПС (ипотека);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По решению Банка  дополнительно может быть затребовано обеспечение в виде поручительства третьих лиц;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при наличии супруга(и) - оформление нотариально</w:t>
      </w:r>
      <w:r>
        <w:rPr>
          <w:sz w:val="18"/>
          <w:szCs w:val="18"/>
        </w:rPr>
        <w:t xml:space="preserve"> удостоверенного согласия супруга(и) на получение кредита и пер</w:t>
      </w:r>
      <w:r>
        <w:rPr>
          <w:sz w:val="18"/>
          <w:szCs w:val="18"/>
        </w:rPr>
        <w:t>е</w:t>
      </w:r>
      <w:r>
        <w:rPr>
          <w:sz w:val="18"/>
          <w:szCs w:val="18"/>
        </w:rPr>
        <w:t>дачу МПС  в залог (ипотеку) либо заключение договора поручительства с супругом(ой) Заемщика за исключением того случая, когда супруги являются созаемщиками по кредитному договору  или залогода</w:t>
      </w:r>
      <w:r>
        <w:rPr>
          <w:sz w:val="18"/>
          <w:szCs w:val="18"/>
        </w:rPr>
        <w:t>телями по договору зал</w:t>
      </w:r>
      <w:r>
        <w:rPr>
          <w:sz w:val="18"/>
          <w:szCs w:val="18"/>
        </w:rPr>
        <w:t>о</w:t>
      </w:r>
      <w:r>
        <w:rPr>
          <w:sz w:val="18"/>
          <w:szCs w:val="18"/>
        </w:rPr>
        <w:t>га (ипотеки) МПС.</w:t>
      </w: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bCs/>
          <w:sz w:val="20"/>
        </w:rPr>
      </w:pPr>
      <w:r>
        <w:rPr>
          <w:rStyle w:val="a4"/>
          <w:bCs/>
          <w:sz w:val="20"/>
        </w:rPr>
        <w:t>Порядок  погашения</w:t>
      </w:r>
    </w:p>
    <w:p w:rsidR="00000000" w:rsidRDefault="005D50E5">
      <w:pPr>
        <w:pStyle w:val="20"/>
        <w:spacing w:before="0"/>
        <w:ind w:right="340" w:firstLine="284"/>
        <w:rPr>
          <w:rStyle w:val="a4"/>
          <w:bCs/>
          <w:sz w:val="20"/>
        </w:rPr>
      </w:pPr>
      <w:r>
        <w:rPr>
          <w:rFonts w:ascii="Times New Roman" w:hAnsi="Times New Roman"/>
          <w:b w:val="0"/>
          <w:sz w:val="18"/>
          <w:szCs w:val="18"/>
        </w:rPr>
        <w:t>Погашении кредита ежемесячно, равными платежами (кроме последнего)</w:t>
      </w:r>
      <w:r>
        <w:rPr>
          <w:rStyle w:val="a3"/>
          <w:rFonts w:ascii="Times New Roman" w:hAnsi="Times New Roman"/>
          <w:sz w:val="20"/>
        </w:rPr>
        <w:footnoteReference w:id="4"/>
      </w: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bCs/>
          <w:sz w:val="20"/>
        </w:rPr>
      </w:pPr>
      <w:r>
        <w:rPr>
          <w:rStyle w:val="a4"/>
          <w:bCs/>
          <w:sz w:val="20"/>
        </w:rPr>
        <w:t>Досрочное погашение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без штрафных санкций и  моратория;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осуществляется только в дату ежемесячного платежа;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сумма досрочного погаш</w:t>
      </w:r>
      <w:r>
        <w:rPr>
          <w:sz w:val="18"/>
          <w:szCs w:val="18"/>
        </w:rPr>
        <w:t>ения не должна быть меньше ежемесячного платежа;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при частичном досрочном погашении срок кредитования изменению не подлежит.</w:t>
      </w: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bCs/>
          <w:sz w:val="20"/>
        </w:rPr>
      </w:pPr>
      <w:r>
        <w:rPr>
          <w:rStyle w:val="a4"/>
          <w:bCs/>
          <w:sz w:val="20"/>
        </w:rPr>
        <w:t>Штрафные санкции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штраф за просрочку внесения платежа по кредитному договору в рублях РФ (за каждый случай просрочки в зависим</w:t>
      </w:r>
      <w:r>
        <w:rPr>
          <w:sz w:val="18"/>
          <w:szCs w:val="18"/>
        </w:rPr>
        <w:t>о</w:t>
      </w:r>
      <w:r>
        <w:rPr>
          <w:sz w:val="18"/>
          <w:szCs w:val="18"/>
        </w:rPr>
        <w:t>сти от</w:t>
      </w:r>
      <w:r>
        <w:rPr>
          <w:sz w:val="18"/>
          <w:szCs w:val="18"/>
        </w:rPr>
        <w:t xml:space="preserve"> продолжительности: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500 руб. (20 долларов США/ЕВРО) – при просрочке до 10 дней включительно;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1000 руб. (35 долларов США/ЕВРО) – при просрочке до 20 дней включительно;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1500 руб. (55 долларов США/ЕВРО) - при просрочке до 30 дней включительно;</w:t>
      </w:r>
    </w:p>
    <w:p w:rsidR="00000000" w:rsidRDefault="005D50E5">
      <w:pPr>
        <w:numPr>
          <w:ilvl w:val="0"/>
          <w:numId w:val="4"/>
        </w:numPr>
        <w:tabs>
          <w:tab w:val="left" w:pos="928"/>
        </w:tabs>
        <w:ind w:left="928"/>
        <w:jc w:val="both"/>
        <w:rPr>
          <w:sz w:val="18"/>
          <w:szCs w:val="18"/>
        </w:rPr>
      </w:pPr>
      <w:r>
        <w:rPr>
          <w:sz w:val="18"/>
          <w:szCs w:val="18"/>
        </w:rPr>
        <w:t>2000 руб. (70 д</w:t>
      </w:r>
      <w:r>
        <w:rPr>
          <w:sz w:val="18"/>
          <w:szCs w:val="18"/>
        </w:rPr>
        <w:t>олларов США/ЕВРО) + 1% от суммы просроченного платежа по кредитному договору  за каждый день просрочки при просрочке более 30 дней;</w:t>
      </w:r>
    </w:p>
    <w:p w:rsidR="00000000" w:rsidRDefault="005D50E5">
      <w:pPr>
        <w:pStyle w:val="3"/>
        <w:tabs>
          <w:tab w:val="left" w:pos="0"/>
        </w:tabs>
        <w:spacing w:before="60"/>
        <w:jc w:val="left"/>
        <w:rPr>
          <w:rStyle w:val="a4"/>
          <w:bCs/>
          <w:sz w:val="20"/>
        </w:rPr>
      </w:pPr>
      <w:r>
        <w:rPr>
          <w:rStyle w:val="a4"/>
          <w:bCs/>
          <w:sz w:val="20"/>
        </w:rPr>
        <w:t>Страхование</w:t>
      </w:r>
    </w:p>
    <w:p w:rsidR="00000000" w:rsidRDefault="005D50E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Обязательно заключение договора страхования, удовлетворяющего следующим условиям:</w:t>
      </w:r>
    </w:p>
    <w:p w:rsidR="00000000" w:rsidRDefault="005D50E5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>страхование осуществляется в с</w:t>
      </w:r>
      <w:r>
        <w:rPr>
          <w:sz w:val="18"/>
          <w:szCs w:val="18"/>
        </w:rPr>
        <w:t>траховых организациях, отвечающих требованиям Банка;</w:t>
      </w:r>
    </w:p>
    <w:p w:rsidR="00000000" w:rsidRDefault="005D50E5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>страхование осуществляется по программе КАСКО;</w:t>
      </w:r>
    </w:p>
    <w:p w:rsidR="00000000" w:rsidRDefault="005D50E5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>выгодоприобретателем по рискам утраты, хищения (угона) и ущерба в части  конструктивной гибели является Банк;</w:t>
      </w:r>
    </w:p>
    <w:p w:rsidR="00000000" w:rsidRDefault="005D50E5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страхование осуществляется на величину полной </w:t>
      </w:r>
      <w:r>
        <w:rPr>
          <w:sz w:val="18"/>
          <w:szCs w:val="18"/>
        </w:rPr>
        <w:t>стоимости приобретаемого Маломерного плавающего средства в                                 течение всего срока действия кредитного договора.</w:t>
      </w:r>
    </w:p>
    <w:p w:rsidR="005D50E5" w:rsidRDefault="005D50E5"/>
    <w:sectPr w:rsidR="005D50E5">
      <w:headerReference w:type="default" r:id="rId7"/>
      <w:headerReference w:type="first" r:id="rId8"/>
      <w:pgSz w:w="11905" w:h="16837"/>
      <w:pgMar w:top="1134" w:right="850" w:bottom="540" w:left="108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E5" w:rsidRDefault="005D50E5">
      <w:r>
        <w:separator/>
      </w:r>
    </w:p>
  </w:endnote>
  <w:endnote w:type="continuationSeparator" w:id="1">
    <w:p w:rsidR="005D50E5" w:rsidRDefault="005D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abelCTT 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abelCTT Ultr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E5" w:rsidRDefault="005D50E5">
      <w:r>
        <w:separator/>
      </w:r>
    </w:p>
  </w:footnote>
  <w:footnote w:type="continuationSeparator" w:id="1">
    <w:p w:rsidR="005D50E5" w:rsidRDefault="005D50E5">
      <w:r>
        <w:continuationSeparator/>
      </w:r>
    </w:p>
  </w:footnote>
  <w:footnote w:id="2">
    <w:p w:rsidR="00000000" w:rsidRDefault="005D50E5">
      <w:pPr>
        <w:pStyle w:val="af3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a3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Банк вправе отказать в предоставлении кредита без объяснения причин.</w:t>
      </w:r>
    </w:p>
  </w:footnote>
  <w:footnote w:id="3">
    <w:p w:rsidR="00000000" w:rsidRDefault="005D50E5">
      <w:pPr>
        <w:pStyle w:val="af3"/>
        <w:rPr>
          <w:sz w:val="16"/>
          <w:szCs w:val="16"/>
        </w:rPr>
      </w:pPr>
      <w:r>
        <w:rPr>
          <w:rStyle w:val="a3"/>
        </w:rPr>
        <w:footnoteRef/>
      </w:r>
      <w:r>
        <w:tab/>
        <w:t xml:space="preserve"> </w:t>
      </w:r>
      <w:r>
        <w:rPr>
          <w:sz w:val="16"/>
          <w:szCs w:val="16"/>
        </w:rPr>
        <w:t>Москва и Московская область признаются</w:t>
      </w:r>
      <w:r>
        <w:rPr>
          <w:sz w:val="16"/>
          <w:szCs w:val="16"/>
        </w:rPr>
        <w:t xml:space="preserve"> одним регионом</w:t>
      </w:r>
    </w:p>
  </w:footnote>
  <w:footnote w:id="4">
    <w:p w:rsidR="00000000" w:rsidRDefault="005D50E5">
      <w:pPr>
        <w:pStyle w:val="af3"/>
        <w:rPr>
          <w:sz w:val="16"/>
          <w:szCs w:val="16"/>
        </w:rPr>
      </w:pPr>
      <w:r>
        <w:rPr>
          <w:rStyle w:val="a3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Путем списания Банком со счета Заемщика денежных средств без распоряжения  Заемщика в соответствии с условиями кредитного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7C8E">
    <w:pPr>
      <w:pStyle w:val="af0"/>
      <w:ind w:hanging="180"/>
    </w:pPr>
    <w:r>
      <w:rPr>
        <w:noProof/>
        <w:lang w:eastAsia="ru-RU"/>
      </w:rPr>
      <w:drawing>
        <wp:inline distT="0" distB="0" distL="0" distR="0">
          <wp:extent cx="2400300" cy="4000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50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7C8E"/>
    <w:rsid w:val="005D50E5"/>
    <w:rsid w:val="006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Hyperlink"/>
    <w:basedOn w:val="1"/>
    <w:semiHidden/>
    <w:rPr>
      <w:color w:val="0000FF"/>
      <w:u w:val="single"/>
    </w:rPr>
  </w:style>
  <w:style w:type="character" w:customStyle="1" w:styleId="a5">
    <w:name w:val="Обычный список Знак"/>
    <w:basedOn w:val="1"/>
    <w:rPr>
      <w:sz w:val="24"/>
      <w:lang w:val="ru-RU" w:eastAsia="ar-SA" w:bidi="ar-SA"/>
    </w:rPr>
  </w:style>
  <w:style w:type="character" w:customStyle="1" w:styleId="30">
    <w:name w:val="Заголовок 3 Знак"/>
    <w:basedOn w:val="1"/>
    <w:rPr>
      <w:b/>
      <w:sz w:val="44"/>
      <w:lang w:val="ru-RU" w:eastAsia="ar-SA" w:bidi="ar-SA"/>
    </w:rPr>
  </w:style>
  <w:style w:type="character" w:customStyle="1" w:styleId="2">
    <w:name w:val="заголовок2 листовки Знак"/>
    <w:basedOn w:val="1"/>
    <w:rPr>
      <w:rFonts w:ascii="KabelCTT Book" w:hAnsi="KabelCTT Book"/>
      <w:b/>
      <w:sz w:val="26"/>
      <w:lang w:val="ru-RU" w:eastAsia="ar-SA" w:bidi="ar-SA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customStyle="1" w:styleId="ad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4">
    <w:name w:val="Текст примечания1"/>
    <w:basedOn w:val="a"/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tabs>
        <w:tab w:val="left" w:pos="360"/>
      </w:tabs>
      <w:spacing w:after="160" w:line="240" w:lineRule="exact"/>
    </w:pPr>
    <w:rPr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f2">
    <w:name w:val="Заголовок листовки"/>
    <w:basedOn w:val="21"/>
    <w:pPr>
      <w:spacing w:before="480" w:after="0" w:line="240" w:lineRule="auto"/>
      <w:jc w:val="center"/>
    </w:pPr>
    <w:rPr>
      <w:rFonts w:ascii="KabelCTT Ultra" w:hAnsi="KabelCTT Ultra"/>
      <w:color w:val="800000"/>
      <w:sz w:val="48"/>
      <w:lang w:val="ru-RU"/>
    </w:rPr>
  </w:style>
  <w:style w:type="paragraph" w:styleId="af3">
    <w:name w:val="footnote text"/>
    <w:basedOn w:val="a"/>
    <w:semiHidden/>
  </w:style>
  <w:style w:type="paragraph" w:customStyle="1" w:styleId="af4">
    <w:name w:val="Обычный список"/>
    <w:basedOn w:val="a"/>
    <w:pPr>
      <w:numPr>
        <w:numId w:val="3"/>
      </w:numPr>
      <w:ind w:left="0" w:firstLine="0"/>
      <w:jc w:val="both"/>
    </w:pPr>
    <w:rPr>
      <w:sz w:val="24"/>
    </w:rPr>
  </w:style>
  <w:style w:type="paragraph" w:customStyle="1" w:styleId="20">
    <w:name w:val="заголовок2 листовки"/>
    <w:basedOn w:val="a"/>
    <w:pPr>
      <w:tabs>
        <w:tab w:val="left" w:pos="-426"/>
      </w:tabs>
      <w:spacing w:before="240"/>
      <w:ind w:right="45"/>
      <w:jc w:val="both"/>
    </w:pPr>
    <w:rPr>
      <w:rFonts w:ascii="KabelCTT Book" w:hAnsi="KabelCTT Book"/>
      <w:b/>
      <w:sz w:val="2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Процентные ставки и основные условия</dc:title>
  <dc:subject/>
  <dc:creator>PSB</dc:creator>
  <cp:keywords/>
  <cp:lastModifiedBy>002003</cp:lastModifiedBy>
  <cp:revision>2</cp:revision>
  <cp:lastPrinted>2008-03-27T16:20:00Z</cp:lastPrinted>
  <dcterms:created xsi:type="dcterms:W3CDTF">2011-09-17T18:08:00Z</dcterms:created>
  <dcterms:modified xsi:type="dcterms:W3CDTF">2011-09-17T18:08:00Z</dcterms:modified>
</cp:coreProperties>
</file>